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</w:t>
      </w: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приказом Министерства культуры и</w:t>
      </w: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туризма Удмуртской Республики</w:t>
      </w:r>
    </w:p>
    <w:p w:rsidR="00D873C5" w:rsidRPr="00E37E8A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«17»июля 2015 года №01/01-05/521</w:t>
      </w:r>
      <w:bookmarkStart w:id="0" w:name="_GoBack"/>
      <w:bookmarkEnd w:id="0"/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12D7E">
        <w:rPr>
          <w:rFonts w:ascii="Times New Roman" w:hAnsi="Times New Roman"/>
          <w:sz w:val="28"/>
          <w:szCs w:val="28"/>
        </w:rPr>
        <w:t xml:space="preserve">Порядок уведомления представителя нанимателя о фактах обращения в целях склонения государственного гражданского служащего </w:t>
      </w:r>
      <w:r>
        <w:rPr>
          <w:rFonts w:ascii="Times New Roman" w:hAnsi="Times New Roman"/>
          <w:sz w:val="28"/>
          <w:szCs w:val="28"/>
        </w:rPr>
        <w:t xml:space="preserve">Удмуртской Республики, замещающего должность государственной гражданской службы в </w:t>
      </w:r>
      <w:r w:rsidRPr="00512D7E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истерстве</w:t>
      </w:r>
      <w:r w:rsidRPr="00512D7E">
        <w:rPr>
          <w:rFonts w:ascii="Times New Roman" w:hAnsi="Times New Roman"/>
          <w:sz w:val="28"/>
          <w:szCs w:val="28"/>
        </w:rPr>
        <w:t xml:space="preserve"> культуры и туризма Удмуртской Республики к совершению коррупционных правонарушений и организации проверки сведений, содержащихся в уведомлении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512D7E">
        <w:rPr>
          <w:rFonts w:ascii="Times New Roman" w:hAnsi="Times New Roman"/>
          <w:sz w:val="28"/>
          <w:szCs w:val="28"/>
        </w:rPr>
        <w:t xml:space="preserve">уведомления представителя нанимателя о фактах обращения в целях склонения государственного гражданского служащего </w:t>
      </w:r>
      <w:r>
        <w:rPr>
          <w:rFonts w:ascii="Times New Roman" w:hAnsi="Times New Roman"/>
          <w:sz w:val="28"/>
          <w:szCs w:val="28"/>
        </w:rPr>
        <w:t>Удмуртской Республики, замещающего должность государственной гражданской службы  в Министерстве</w:t>
      </w:r>
      <w:r w:rsidRPr="00512D7E">
        <w:rPr>
          <w:rFonts w:ascii="Times New Roman" w:hAnsi="Times New Roman"/>
          <w:sz w:val="28"/>
          <w:szCs w:val="28"/>
        </w:rPr>
        <w:t xml:space="preserve"> культуры и туризма Удмуртской Республики</w:t>
      </w:r>
      <w:r>
        <w:rPr>
          <w:rFonts w:ascii="Times New Roman" w:hAnsi="Times New Roman"/>
          <w:sz w:val="28"/>
          <w:szCs w:val="28"/>
        </w:rPr>
        <w:t xml:space="preserve"> (далее-государственный гражданский служащий)</w:t>
      </w:r>
      <w:r w:rsidRPr="00512D7E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и организации проверки сведений, содержащихся в уведомлении</w:t>
      </w:r>
      <w:r>
        <w:rPr>
          <w:rFonts w:ascii="Times New Roman" w:hAnsi="Times New Roman"/>
          <w:sz w:val="28"/>
          <w:szCs w:val="28"/>
        </w:rPr>
        <w:t xml:space="preserve">  (далее - Порядок)  устанавливает процедуру  </w:t>
      </w:r>
      <w:r w:rsidRPr="00512D7E">
        <w:rPr>
          <w:rFonts w:ascii="Times New Roman" w:hAnsi="Times New Roman"/>
          <w:sz w:val="28"/>
          <w:szCs w:val="28"/>
        </w:rPr>
        <w:t>уведомления представителя нанимателя о фактах обращения в целях склонения государственного гражданского</w:t>
      </w:r>
      <w:r>
        <w:rPr>
          <w:rFonts w:ascii="Times New Roman" w:hAnsi="Times New Roman"/>
          <w:sz w:val="28"/>
          <w:szCs w:val="28"/>
        </w:rPr>
        <w:t xml:space="preserve"> служащего</w:t>
      </w:r>
      <w:r w:rsidRPr="00512D7E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, а также порядок организации проверки сведений, содержащихся в уведомлении. 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73C5" w:rsidRPr="0005276F" w:rsidRDefault="00D873C5" w:rsidP="000527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уведомления представителя нанимателя</w:t>
      </w:r>
      <w:r w:rsidRPr="0005276F">
        <w:rPr>
          <w:rFonts w:ascii="Times New Roman" w:hAnsi="Times New Roman"/>
          <w:sz w:val="28"/>
          <w:szCs w:val="28"/>
        </w:rPr>
        <w:t xml:space="preserve"> </w:t>
      </w:r>
      <w:r w:rsidRPr="00512D7E">
        <w:rPr>
          <w:rFonts w:ascii="Times New Roman" w:hAnsi="Times New Roman"/>
          <w:sz w:val="28"/>
          <w:szCs w:val="28"/>
        </w:rPr>
        <w:t>о фактах обращения в целях склонения государственного гражданского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, перечень сведений, содержащихся в уведомлениях, порядок регистрации уведомлений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73C5" w:rsidRDefault="00D873C5" w:rsidP="000527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hyperlink r:id="rId5" w:history="1">
        <w:r w:rsidRPr="00512D7E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ом от 25 декабря 2008 года № 273-ФЗ «О противодействии коррупции» государственный гражданский служащий, обязан уведомлять представителя нанимателя обо всех случаях обращения к нему каких-либо лиц в целях склонения его к </w:t>
      </w:r>
      <w:r w:rsidRPr="00512D7E">
        <w:rPr>
          <w:rFonts w:ascii="Times New Roman" w:hAnsi="Times New Roman"/>
          <w:sz w:val="28"/>
          <w:szCs w:val="28"/>
        </w:rPr>
        <w:t>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D873C5" w:rsidRPr="00B95303" w:rsidRDefault="00D873C5" w:rsidP="00B953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95303">
        <w:rPr>
          <w:rFonts w:ascii="Times New Roman" w:hAnsi="Times New Roman"/>
          <w:sz w:val="28"/>
          <w:szCs w:val="28"/>
        </w:rPr>
        <w:t>Уведомление представителя нанимателя осуществляется путем подачи на его имя письменного заявления (далее - уведомление)</w:t>
      </w:r>
      <w:r>
        <w:rPr>
          <w:rFonts w:ascii="Times New Roman" w:hAnsi="Times New Roman"/>
          <w:sz w:val="28"/>
          <w:szCs w:val="28"/>
        </w:rPr>
        <w:t xml:space="preserve"> по форме в соответствии с</w:t>
      </w:r>
      <w:r w:rsidRPr="00B95303">
        <w:rPr>
          <w:rFonts w:ascii="Times New Roman" w:hAnsi="Times New Roman"/>
          <w:sz w:val="28"/>
          <w:szCs w:val="28"/>
        </w:rPr>
        <w:t xml:space="preserve"> приложением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B95303">
        <w:rPr>
          <w:rFonts w:ascii="Times New Roman" w:hAnsi="Times New Roman"/>
          <w:sz w:val="28"/>
          <w:szCs w:val="28"/>
        </w:rPr>
        <w:t>к настоящему Порядку.</w:t>
      </w:r>
    </w:p>
    <w:p w:rsidR="00D873C5" w:rsidRPr="00B95303" w:rsidRDefault="00D873C5" w:rsidP="00B953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95303">
        <w:rPr>
          <w:rFonts w:ascii="Times New Roman" w:hAnsi="Times New Roman"/>
          <w:sz w:val="28"/>
          <w:szCs w:val="28"/>
        </w:rPr>
        <w:t xml:space="preserve">В случае отсутствия представителя нанимателя государственный </w:t>
      </w:r>
      <w:r>
        <w:rPr>
          <w:rFonts w:ascii="Times New Roman" w:hAnsi="Times New Roman"/>
          <w:sz w:val="28"/>
          <w:szCs w:val="28"/>
        </w:rPr>
        <w:t xml:space="preserve">гражданский </w:t>
      </w:r>
      <w:r w:rsidRPr="00B95303">
        <w:rPr>
          <w:rFonts w:ascii="Times New Roman" w:hAnsi="Times New Roman"/>
          <w:sz w:val="28"/>
          <w:szCs w:val="28"/>
        </w:rPr>
        <w:t>служащий обязан подать уведомление одному из следующих должностных лиц:</w:t>
      </w:r>
    </w:p>
    <w:p w:rsidR="00D873C5" w:rsidRPr="00B95303" w:rsidRDefault="00D873C5" w:rsidP="00B953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95303">
        <w:rPr>
          <w:rFonts w:ascii="Times New Roman" w:hAnsi="Times New Roman"/>
          <w:sz w:val="28"/>
          <w:szCs w:val="28"/>
        </w:rPr>
        <w:t>начальнику отдела правовой и кадровой работ</w:t>
      </w:r>
      <w:r>
        <w:rPr>
          <w:rFonts w:ascii="Times New Roman" w:hAnsi="Times New Roman"/>
          <w:sz w:val="28"/>
          <w:szCs w:val="28"/>
        </w:rPr>
        <w:t>ы</w:t>
      </w:r>
      <w:r w:rsidRPr="00B95303">
        <w:rPr>
          <w:rFonts w:ascii="Times New Roman" w:hAnsi="Times New Roman"/>
          <w:sz w:val="28"/>
          <w:szCs w:val="28"/>
        </w:rPr>
        <w:t xml:space="preserve"> Министерства культуры и туризма Удмуртской Республики (далее - Министерство);</w:t>
      </w:r>
    </w:p>
    <w:p w:rsidR="00D873C5" w:rsidRDefault="00D873C5" w:rsidP="00B953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заместителю министра, ответственному за реализацию антикоррупционной политики в Министерстве, в том числе за реализацию мер, направленных на предупреждение коррупционных проявлений (далее – должностное лицо, ответственное за реализацию антикоррупционной политики в Министерстве).</w:t>
      </w:r>
    </w:p>
    <w:p w:rsidR="00D873C5" w:rsidRDefault="00D873C5" w:rsidP="00B9530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приема и регистрации уведомлений государственных гражданских служащих о фактах обращения к ним в целях склонения их к совершению коррупционных правонарушений осуществляется отделом</w:t>
      </w:r>
      <w:r w:rsidRPr="00B95303">
        <w:rPr>
          <w:rFonts w:ascii="Times New Roman" w:hAnsi="Times New Roman"/>
          <w:sz w:val="28"/>
          <w:szCs w:val="28"/>
        </w:rPr>
        <w:t xml:space="preserve"> правовой и кадровой работ</w:t>
      </w:r>
      <w:r>
        <w:rPr>
          <w:rFonts w:ascii="Times New Roman" w:hAnsi="Times New Roman"/>
          <w:sz w:val="28"/>
          <w:szCs w:val="28"/>
        </w:rPr>
        <w:t>ы</w:t>
      </w:r>
      <w:r w:rsidRPr="00B95303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D873C5" w:rsidRPr="00E13939" w:rsidRDefault="00D873C5" w:rsidP="00E139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3"/>
      <w:bookmarkEnd w:id="1"/>
      <w:r w:rsidRPr="00E13939">
        <w:rPr>
          <w:rFonts w:ascii="Times New Roman" w:hAnsi="Times New Roman"/>
          <w:sz w:val="28"/>
          <w:szCs w:val="28"/>
        </w:rPr>
        <w:t xml:space="preserve">5. Государственный </w:t>
      </w:r>
      <w:r>
        <w:rPr>
          <w:rFonts w:ascii="Times New Roman" w:hAnsi="Times New Roman"/>
          <w:sz w:val="28"/>
          <w:szCs w:val="28"/>
        </w:rPr>
        <w:t xml:space="preserve">гражданский </w:t>
      </w:r>
      <w:r w:rsidRPr="00E13939">
        <w:rPr>
          <w:rFonts w:ascii="Times New Roman" w:hAnsi="Times New Roman"/>
          <w:sz w:val="28"/>
          <w:szCs w:val="28"/>
        </w:rPr>
        <w:t>служащий обязан подать уведомление в течение рабочего дня, в котором к нему поступи</w:t>
      </w:r>
      <w:r>
        <w:rPr>
          <w:rFonts w:ascii="Times New Roman" w:hAnsi="Times New Roman"/>
          <w:sz w:val="28"/>
          <w:szCs w:val="28"/>
        </w:rPr>
        <w:t xml:space="preserve">ло обращение в целях склонения </w:t>
      </w:r>
      <w:r w:rsidRPr="00E13939">
        <w:rPr>
          <w:rFonts w:ascii="Times New Roman" w:hAnsi="Times New Roman"/>
          <w:sz w:val="28"/>
          <w:szCs w:val="28"/>
        </w:rPr>
        <w:t xml:space="preserve">его к совершению коррупционных правонарушений. В случае, если обращение в целях склонения государственного </w:t>
      </w: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E13939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 поступило после окончания рабочего дня, уведомление должно быть подано в течение следующего рабочего дня.</w:t>
      </w:r>
    </w:p>
    <w:p w:rsidR="00D873C5" w:rsidRDefault="00D873C5" w:rsidP="00E139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уведомлении государственный гражданский служащий должен указать:</w:t>
      </w:r>
    </w:p>
    <w:p w:rsidR="00D873C5" w:rsidRPr="00E13939" w:rsidRDefault="00D873C5" w:rsidP="003330D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должности, фамилию, и инициалы представителя нанимателя;</w:t>
      </w:r>
    </w:p>
    <w:p w:rsidR="00D873C5" w:rsidRPr="003330D3" w:rsidRDefault="00D873C5" w:rsidP="0033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0D3">
        <w:rPr>
          <w:rFonts w:ascii="Times New Roman" w:hAnsi="Times New Roman"/>
          <w:sz w:val="28"/>
          <w:szCs w:val="28"/>
        </w:rPr>
        <w:t>2) свои фамилию, имя, отчество, должность;</w:t>
      </w:r>
    </w:p>
    <w:p w:rsidR="00D873C5" w:rsidRDefault="00D873C5" w:rsidP="0033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дату, время и место поступления обращения в целях склонения государственного гражданского служащего к</w:t>
      </w:r>
      <w:r w:rsidRPr="00E13939">
        <w:rPr>
          <w:rFonts w:ascii="Times New Roman" w:hAnsi="Times New Roman"/>
          <w:sz w:val="28"/>
          <w:szCs w:val="28"/>
        </w:rPr>
        <w:t xml:space="preserve">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D873C5" w:rsidRPr="00E13939" w:rsidRDefault="00D873C5" w:rsidP="003330D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3939">
        <w:rPr>
          <w:rFonts w:ascii="Times New Roman" w:hAnsi="Times New Roman"/>
          <w:sz w:val="28"/>
          <w:szCs w:val="28"/>
        </w:rPr>
        <w:t xml:space="preserve">) описание обстоятельств, при которых </w:t>
      </w:r>
      <w:r>
        <w:rPr>
          <w:rFonts w:ascii="Times New Roman" w:hAnsi="Times New Roman"/>
          <w:sz w:val="28"/>
          <w:szCs w:val="28"/>
        </w:rPr>
        <w:t>произошел  случай обращения к государственному гражданскому</w:t>
      </w:r>
      <w:r w:rsidRPr="00E13939">
        <w:rPr>
          <w:rFonts w:ascii="Times New Roman" w:hAnsi="Times New Roman"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в) подробные сведения о коррупционных правонарушениях, которые должен был бы совершить</w:t>
      </w:r>
      <w:r>
        <w:rPr>
          <w:rFonts w:ascii="Times New Roman" w:hAnsi="Times New Roman"/>
          <w:sz w:val="28"/>
          <w:szCs w:val="28"/>
        </w:rPr>
        <w:t xml:space="preserve"> государственный </w:t>
      </w:r>
      <w:r w:rsidRPr="00E13939">
        <w:rPr>
          <w:rFonts w:ascii="Times New Roman" w:hAnsi="Times New Roman"/>
          <w:sz w:val="28"/>
          <w:szCs w:val="28"/>
        </w:rPr>
        <w:t xml:space="preserve"> гражданский служащий по просьбе обратившихся лиц;</w:t>
      </w:r>
    </w:p>
    <w:p w:rsidR="00D873C5" w:rsidRPr="00E13939" w:rsidRDefault="00D873C5" w:rsidP="003330D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3939">
        <w:rPr>
          <w:rFonts w:ascii="Times New Roman" w:hAnsi="Times New Roman"/>
          <w:sz w:val="28"/>
          <w:szCs w:val="28"/>
        </w:rPr>
        <w:t>) все известные сведения о физическом (юридическом) лице, склоняющем к коррупционному правонарушению;</w:t>
      </w:r>
    </w:p>
    <w:p w:rsidR="00D873C5" w:rsidRPr="00E13939" w:rsidRDefault="00D873C5" w:rsidP="003330D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13939">
        <w:rPr>
          <w:rFonts w:ascii="Times New Roman" w:hAnsi="Times New Roman"/>
          <w:sz w:val="28"/>
          <w:szCs w:val="28"/>
        </w:rPr>
        <w:t>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D873C5" w:rsidRDefault="00D873C5" w:rsidP="003330D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13939">
        <w:rPr>
          <w:rFonts w:ascii="Times New Roman" w:hAnsi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</w:t>
      </w:r>
      <w:r>
        <w:rPr>
          <w:rFonts w:ascii="Times New Roman" w:hAnsi="Times New Roman"/>
          <w:sz w:val="28"/>
          <w:szCs w:val="28"/>
        </w:rPr>
        <w:t>целях склонения государственного гражданского</w:t>
      </w:r>
      <w:r w:rsidRPr="00E13939">
        <w:rPr>
          <w:rFonts w:ascii="Times New Roman" w:hAnsi="Times New Roman"/>
          <w:sz w:val="28"/>
          <w:szCs w:val="28"/>
        </w:rPr>
        <w:t xml:space="preserve"> служащего к совершени</w:t>
      </w:r>
      <w:r>
        <w:rPr>
          <w:rFonts w:ascii="Times New Roman" w:hAnsi="Times New Roman"/>
          <w:sz w:val="28"/>
          <w:szCs w:val="28"/>
        </w:rPr>
        <w:t>ю коррупционных правонарушений.</w:t>
      </w:r>
    </w:p>
    <w:p w:rsidR="00D873C5" w:rsidRPr="00E13939" w:rsidRDefault="00D873C5" w:rsidP="003330D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подписывается государственным гражданским служащим с указанием даты и времени подачи уведомления.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Уведомления регистрируются в журнале регистрации уведомлений государственных гражданских служащих Министерства о фактах обращения в целях склонения их к совершению коррупционных правонарушений (далее - журнал регистрации уведомлений) (</w:t>
      </w:r>
      <w:hyperlink r:id="rId6" w:history="1">
        <w:r>
          <w:rPr>
            <w:rFonts w:ascii="Times New Roman" w:hAnsi="Times New Roman"/>
            <w:sz w:val="28"/>
            <w:szCs w:val="28"/>
          </w:rPr>
          <w:t>приложение №</w:t>
        </w:r>
        <w:r w:rsidRPr="003330D3">
          <w:rPr>
            <w:rFonts w:ascii="Times New Roman" w:hAnsi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/>
          <w:sz w:val="28"/>
          <w:szCs w:val="28"/>
        </w:rPr>
        <w:t xml:space="preserve"> к Порядку).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Отказ в принятии уведомления уполномоченным лицом недопустим.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принявшее уведомление, обязано изготовить копию уведомления и вручить её государственному гражданскому служащему с указанием даты и времени получения уведомления. Одновременно уведомление регистрируется</w:t>
      </w:r>
      <w:r w:rsidRPr="00333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журнале регистрации уведомлений. </w:t>
      </w:r>
    </w:p>
    <w:p w:rsidR="00D873C5" w:rsidRDefault="00D873C5" w:rsidP="00333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 подачи уведомления должностным лицам, указанным в пункте 3 настоящего Порядка, эти лица после появления представителя нанимателя передают ему уведомление с приложением информации о дате и времени получения ими уведомления.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Организация проверки сведений, содержащихся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уведомлении 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Представитель нанимателя, получивший уведомление, в срок не позднее двух рабочих дней со дня получения уведомления обязан организовать проверку сведений, содержащихся в уведомлении (далее - проверка).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Проверка осуществляется создаваемой представителем нанимателя комиссией.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состав комиссии включаются: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министра, ответственный за реализацию антикоррупционной политики в Министерстве;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правовой и кадровой работы;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структурного подразделения, в котором замещает должность государственный служащий;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Проверка проводится комиссией в срок не позднее десяти  рабочих дней с момента регистрации уведомления.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комиссией должны быть полностью, объективно и всесторонне установлены: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факт обращения к государственному гражданскому служащему указанных в уведомлении лиц в целях склонения его к совершению коррупционных правонарушений;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обстоятельства, послужившие основанием для подачи уведомления;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возможные причины и условия, способствовавшие обращению к государственному гражданскому служащему</w:t>
      </w:r>
      <w:r w:rsidRPr="0009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склонения его к совершению коррупционных правонарушений;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характер и размер вреда, который мог быть причинен государственным гражданским служащим в результате совершения им (участия в совершении) коррупционного правонарушения, содержащегося в обращении;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иные обстоятельства, позволяющие установить (опровергнуть) факт обращения к государственному гражданскому служащему указанных в уведомлении лиц в целях склонения его к совершению коррупционных правонарушений.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 проводимой проверке комиссия в письменном виде извещает государственного гражданского служащего и лицо, от которого государственному гражданскому служащему поступило обращение  в целях склонения его к совершению коррупционных правонарушений.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Государственный гражданский служащий и лицо, от которого  государственному гражданскому служащему поступило обращение  в целях склонения его к совершению коррупционных правонарушений, имеют право: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обжаловать решения и действия (бездействие) лиц, проводящих проверку;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знакомиться по окончании проверки с письменным заключением и другими материалами 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результатам проверки комиссия выносит заключение в письменной форме.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 заключении по результатам проверки указываются: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факты и обстоятельства, установленные по результатам проверки;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предложение об устранении выявленных причин и условий, способствовавших обращению к государственному служащему</w:t>
      </w:r>
      <w:r w:rsidRPr="0009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склонения его к совершению коррупционных правонарушений;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предложения о направлении материалов проверки  в правоохранительные органы в случае установления по результатам проверки обстоятельств, свидетельствующих о совершении правонарушения;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предложения о направлении материалов проверки в иной государственный орган (орган местного самоуправления) в случае, если лицо, от которого государственному гражданскому служащему поступило обращение </w:t>
      </w:r>
      <w:r w:rsidRPr="0009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склонения его к совершению коррупционных правонарушений, является работником (сотрудником) иного государственного органа (органа местного самоуправления) и по результатам проверки были установлены обстоятельства, свидетельствующие о совершении им дисциплинарного проступка;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случае, если лицо, от которого государственному гражданскому служащему поступило обращение </w:t>
      </w:r>
      <w:r w:rsidRPr="0009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склонения его к совершению коррупционных правонарушений, является работником (сотрудником) Министерства и по результатам проверки были установлены обстоятельства, свидетельствующие о совершении им дисциплинарного проступка, предложение о применении к указанному лицу дисциплинарного взыскания;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иные предложения, реализация которых будет способствовать выявлению, ограничению либо устранению явлений, порождающих коррупционные правонарушения или способствующих их возникновению и (или) распространению.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Заключение по результатам проверки подписывается лицом, возглавляющим комиссию, другими членами комиссии и государственным гражданским служащим. Указанное заключение вправе подписать лицо, от которого государственному гражданскому служащему поступило обращение </w:t>
      </w:r>
      <w:r w:rsidRPr="0009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склонения его к совершению коррупционных правонарушений.</w:t>
      </w:r>
    </w:p>
    <w:p w:rsidR="00D873C5" w:rsidRDefault="00D873C5" w:rsidP="0091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В случае несогласия государственного гражданского служащего и (или) лица, от которого государственному гражданскому служащему поступило обращение </w:t>
      </w:r>
      <w:r w:rsidRPr="0009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склонения его к совершению коррупционных правонарушений, с заключением комиссии, указанные лица в течение двух рабочих дней со дня подписания заключения комиссии всеми членами комиссии вправе изложить в письменном виде свои возражения, которые прикладываются к заключению комиссии и являются его неотъемлемой частью.</w:t>
      </w:r>
    </w:p>
    <w:p w:rsidR="00D873C5" w:rsidRDefault="00D873C5" w:rsidP="00094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Заключение комиссии приобщается к личному делу государственного  гражданского служащего.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</w:t>
      </w: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1</w:t>
      </w:r>
    </w:p>
    <w:p w:rsidR="00D873C5" w:rsidRDefault="00D873C5" w:rsidP="00E07E1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уведомления представителя </w:t>
      </w:r>
    </w:p>
    <w:p w:rsidR="00D873C5" w:rsidRDefault="00D873C5" w:rsidP="00E07E1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нанимателя о фактах обращения в целях </w:t>
      </w:r>
    </w:p>
    <w:p w:rsidR="00D873C5" w:rsidRDefault="00D873C5" w:rsidP="00E07E1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склонения государственного гражданского</w:t>
      </w:r>
    </w:p>
    <w:p w:rsidR="00D873C5" w:rsidRDefault="00D873C5" w:rsidP="00E07E15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служащего Удмуртской Республики, замещающего должность государственной гражданской службы в Министерстве культуры и туризма Удмуртской Республики к совершению коррупционных правонарушений и организации проверки сведений, содержащихся в уведомлении</w:t>
      </w:r>
    </w:p>
    <w:p w:rsidR="00D873C5" w:rsidRDefault="00D873C5" w:rsidP="00E07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B95303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E15">
        <w:rPr>
          <w:rFonts w:ascii="Times New Roman" w:hAnsi="Times New Roman" w:cs="Times New Roman"/>
          <w:sz w:val="24"/>
          <w:szCs w:val="24"/>
        </w:rPr>
        <w:t xml:space="preserve">  (Ф.И.О., должность представителя нанимателя)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E15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E15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(Ф.И.О., должность </w:t>
      </w:r>
      <w:r w:rsidRPr="00E07E15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E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E15">
        <w:rPr>
          <w:rFonts w:ascii="Times New Roman" w:hAnsi="Times New Roman" w:cs="Times New Roman"/>
          <w:sz w:val="24"/>
          <w:szCs w:val="24"/>
        </w:rPr>
        <w:t xml:space="preserve"> служа</w:t>
      </w:r>
      <w:r>
        <w:rPr>
          <w:rFonts w:ascii="Times New Roman" w:hAnsi="Times New Roman" w:cs="Times New Roman"/>
          <w:sz w:val="24"/>
          <w:szCs w:val="24"/>
        </w:rPr>
        <w:t>щего, направляющего уведомление)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73C5" w:rsidRPr="00E07E15" w:rsidRDefault="00D873C5" w:rsidP="00E07E15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E0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73C5" w:rsidRPr="00E07E15" w:rsidRDefault="00D873C5" w:rsidP="00E0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</w:p>
    <w:p w:rsidR="00D873C5" w:rsidRPr="00E07E15" w:rsidRDefault="00D873C5" w:rsidP="00E0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гражданского</w:t>
      </w:r>
      <w:r w:rsidRPr="00E07E15">
        <w:rPr>
          <w:rFonts w:ascii="Times New Roman" w:hAnsi="Times New Roman" w:cs="Times New Roman"/>
          <w:sz w:val="24"/>
          <w:szCs w:val="24"/>
        </w:rPr>
        <w:t xml:space="preserve"> служащего к совершению</w:t>
      </w:r>
    </w:p>
    <w:p w:rsidR="00D873C5" w:rsidRPr="00E07E15" w:rsidRDefault="00D873C5" w:rsidP="006E5C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07E15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D873C5" w:rsidRPr="00E07E15" w:rsidRDefault="00D873C5" w:rsidP="00E0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D873C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(описание обстоятельств, при которых стало известно о случаях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обращения к государственному служащему </w:t>
      </w:r>
      <w:r w:rsidRPr="00E07E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7E15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E15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его к совершению коррупционных правонарушений, дата, место, время,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         другие условия)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должность  </w:t>
      </w:r>
      <w:r w:rsidRPr="00E07E15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Pr="00E07E15">
        <w:rPr>
          <w:rFonts w:ascii="Times New Roman" w:hAnsi="Times New Roman" w:cs="Times New Roman"/>
          <w:sz w:val="24"/>
          <w:szCs w:val="24"/>
        </w:rPr>
        <w:t xml:space="preserve"> служащего, которого склоняют к совершению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коррупционных правонарушений)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(подробные сведения о коррупционных правонарушениях, которые должен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был бы совершить  государственный гражданский </w:t>
      </w:r>
      <w:r w:rsidRPr="00E07E15">
        <w:rPr>
          <w:rFonts w:ascii="Times New Roman" w:hAnsi="Times New Roman" w:cs="Times New Roman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E15">
        <w:rPr>
          <w:rFonts w:ascii="Times New Roman" w:hAnsi="Times New Roman" w:cs="Times New Roman"/>
          <w:sz w:val="24"/>
          <w:szCs w:val="24"/>
        </w:rPr>
        <w:t xml:space="preserve">  по просьбе </w:t>
      </w:r>
    </w:p>
    <w:p w:rsidR="00D873C5" w:rsidRPr="00E07E1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обратившихся лиц)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(все известные сведения о физическим (юридическом) лице, склоняющем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к коррупционному правонарушению)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4. Способ и обстоятельства склонения к коррупционному правонарушению: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т.д.,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 личная встреча, почта и др.)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5.  Информация  о  рез</w:t>
      </w:r>
      <w:r>
        <w:rPr>
          <w:rFonts w:ascii="Times New Roman" w:hAnsi="Times New Roman" w:cs="Times New Roman"/>
          <w:sz w:val="24"/>
          <w:szCs w:val="24"/>
        </w:rPr>
        <w:t xml:space="preserve">ультате  склонения  </w:t>
      </w:r>
      <w:r w:rsidRPr="00E07E15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коррупционного правонарушения 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_______________________________________  _____________________  ___________</w:t>
      </w:r>
    </w:p>
    <w:p w:rsidR="00D873C5" w:rsidRPr="00E07E15" w:rsidRDefault="00D873C5" w:rsidP="00B9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(дата и время заполнения уведомления)         (Ф.И.О.)          (подпись)</w:t>
      </w:r>
    </w:p>
    <w:p w:rsidR="00D873C5" w:rsidRPr="00E07E15" w:rsidRDefault="00D873C5" w:rsidP="00B9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3C5" w:rsidRPr="00E07E15" w:rsidRDefault="00D873C5" w:rsidP="00B95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3C5" w:rsidRDefault="00D873C5" w:rsidP="00512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Default="00D873C5" w:rsidP="00E07E1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873C5" w:rsidRDefault="00D873C5" w:rsidP="00E07E1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уведомления представителя </w:t>
      </w:r>
    </w:p>
    <w:p w:rsidR="00D873C5" w:rsidRDefault="00D873C5" w:rsidP="00E07E1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нанимателя о фактах обращения в целях </w:t>
      </w:r>
    </w:p>
    <w:p w:rsidR="00D873C5" w:rsidRDefault="00D873C5" w:rsidP="00E07E15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склонения государственного гражданского</w:t>
      </w:r>
    </w:p>
    <w:p w:rsidR="00D873C5" w:rsidRDefault="00D873C5" w:rsidP="00E07E15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служащего Удмуртской Республики, замещающего должность государственной гражданской службы в Министерстве культуры и туризма Удмуртской Республики к совершению коррупционных правонарушений и организации проверки сведений, содержащихся в уведомлении</w:t>
      </w:r>
    </w:p>
    <w:p w:rsidR="00D873C5" w:rsidRDefault="00D873C5" w:rsidP="00E07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Pr="00E37E8A" w:rsidRDefault="00D873C5" w:rsidP="00E3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3C5" w:rsidRPr="00E37E8A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Pr="00E37E8A" w:rsidRDefault="00D873C5" w:rsidP="00E3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Pr="00E07E15" w:rsidRDefault="00D873C5" w:rsidP="00E0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Журнал</w:t>
      </w:r>
    </w:p>
    <w:p w:rsidR="00D873C5" w:rsidRPr="00E07E15" w:rsidRDefault="00D873C5" w:rsidP="00E0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 xml:space="preserve">истрации уведомлений государственных гражданских </w:t>
      </w:r>
      <w:r w:rsidRPr="00E07E15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0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Министерстве культуры и туризма Удмуртской Республики </w:t>
      </w:r>
      <w:r w:rsidRPr="00E07E15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</w:t>
      </w:r>
    </w:p>
    <w:p w:rsidR="00D873C5" w:rsidRPr="00E07E15" w:rsidRDefault="00D873C5" w:rsidP="00E07E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>их к совершению коррупционных правонарушений</w:t>
      </w:r>
    </w:p>
    <w:p w:rsidR="00D873C5" w:rsidRPr="00E07E15" w:rsidRDefault="00D873C5" w:rsidP="00E07E1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Начат "__" _____________ 20__ г.</w:t>
      </w:r>
    </w:p>
    <w:p w:rsidR="00D873C5" w:rsidRPr="00E07E1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Окончен "__" ___________ 20__ г.</w:t>
      </w:r>
    </w:p>
    <w:p w:rsidR="00D873C5" w:rsidRPr="00E07E1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3C5" w:rsidRPr="00E07E15" w:rsidRDefault="00D873C5" w:rsidP="00E07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15">
        <w:rPr>
          <w:rFonts w:ascii="Times New Roman" w:hAnsi="Times New Roman" w:cs="Times New Roman"/>
          <w:sz w:val="24"/>
          <w:szCs w:val="24"/>
        </w:rPr>
        <w:t xml:space="preserve">                     На "__" листах</w:t>
      </w:r>
    </w:p>
    <w:p w:rsidR="00D873C5" w:rsidRDefault="00D873C5" w:rsidP="00E0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417"/>
        <w:gridCol w:w="1609"/>
        <w:gridCol w:w="1559"/>
        <w:gridCol w:w="1560"/>
        <w:gridCol w:w="1417"/>
        <w:gridCol w:w="1332"/>
        <w:gridCol w:w="1078"/>
      </w:tblGrid>
      <w:tr w:rsidR="00D873C5" w:rsidRPr="00E07E15" w:rsidTr="00E0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07E1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5">
              <w:rPr>
                <w:rFonts w:ascii="Times New Roman" w:hAnsi="Times New Roman"/>
                <w:sz w:val="24"/>
                <w:szCs w:val="24"/>
              </w:rPr>
              <w:t>Регистрационный номер, дата принятия уведомления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5">
              <w:rPr>
                <w:rFonts w:ascii="Times New Roman" w:hAnsi="Times New Roman"/>
                <w:sz w:val="24"/>
                <w:szCs w:val="24"/>
              </w:rPr>
              <w:t>Должностное лицо, принявшее уведомление,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5">
              <w:rPr>
                <w:rFonts w:ascii="Times New Roman" w:hAnsi="Times New Roman"/>
                <w:sz w:val="24"/>
                <w:szCs w:val="24"/>
              </w:rPr>
              <w:t>Ф.И.О. подавшего уведомление с указанием должности, структурного подразделения,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5">
              <w:rPr>
                <w:rFonts w:ascii="Times New Roman" w:hAnsi="Times New Roman"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5">
              <w:rPr>
                <w:rFonts w:ascii="Times New Roman" w:hAnsi="Times New Roman"/>
                <w:sz w:val="24"/>
                <w:szCs w:val="24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5">
              <w:rPr>
                <w:rFonts w:ascii="Times New Roman" w:hAnsi="Times New Roman"/>
                <w:sz w:val="24"/>
                <w:szCs w:val="24"/>
              </w:rPr>
              <w:t>Принятое решение с указанием даты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Pr="00E07E1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15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</w:tr>
      <w:tr w:rsidR="00D873C5" w:rsidTr="00E0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73C5" w:rsidTr="00E0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3C5" w:rsidRDefault="00D8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3C5" w:rsidRDefault="00D873C5" w:rsidP="00E0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водействии коррупции").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2. Действие настоящего Порядка распространяется на федеральных государственных гражданских служащих Минсельхоза России (далее - гражданские служащие).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3. Настоящий Порядок устанавливает процедуру уведомления гражданскими служащими Министра сельского хозяйства Российской Федерации (далее -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4. В соответствии со статьей 1 Федерального закона "О противодействии коррупции" коррупцией являются: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II. Организация приема и регистрации уведомлений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5.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Департаментом государственной службы и кадров.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6.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сотрудники отдела по профилактике коррупционных и иных правонарушений Департамента государственной службы и кадров (далее - уполномоченные лица).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7. Гражданский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- уведомление) представителю нанимателя в произвольной форме или в соответствии с приложением N 1 к Порядку в отдел по профилактике коррупционных и иных правонарушений Департамента государственной службы и кадров, органы прокуратуры или другие государственные органы.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Федерации, гражданский служащий обязан уведомить представителя нанимателя незамедлительно с момента прибытия к месту прохождения службы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В случае, если склонение гражданского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8.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9. Невыполнение гражданским служащим служебной обязанности, предусмотренной пунктом 7 настоящего Порядка, является правонарушением, влекущим его увольнение с федеральной государственной гражданской службы либо привлечение его к иным видам ответственности в соответствии с законодательством Российской Федерации.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10. В уведомлении указываются следующие сведения: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а) фамилия, имя, отчество, должность, место жительства и телефон гражданского служащего, направившего уведомление, его должность и структурное подразделение Минсельхоза России;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б)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гражданским служащим, указанным в пункте 8 настоящего Положения, указывается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в)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г) все известные сведения о физическом (юридическом) лице, склоняющем к коррупционному правонарушению;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д)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11. Уведомления регистрируются в журнале регистрации уведомлений гражданских служащих Минсельхоза России о фактах обращения в целях склонения их к совершению коррупционных правонарушений (далее - журнал регистрации уведомлений) (приложение N 2 к Порядку).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Уполномоченное лицо помимо регистрации уведомления в журнале регистрации уведомлений обязано выдать гражданскому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 (приложение N 3 к Порядку).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гражданскому служащему, направившему уведомление.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Невыдача талона-уведомления не допускается.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12. Листы журнала регистрации уведомлений должны быть пронумерованы, прошнурованы и скреплены печатью Минсельхоза России.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13.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14. Отказ в принятии уведомления уполномоченным лицом недопустим.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15. Журнал регистрации уведомлений хранится не менее 5 лет с момента регистрации в нем последнего уведомления в отделе по профилактике коррупционных и иных правонарушений Департамента государственной службы и кадров.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III. Организация проверки содержащихся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в уведомлениях сведений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16. Организация проверки содержащихся в уведомлениях сведений осуществляется отделом по профилактике коррупционных и иных правонарушений Департамента государственной службы и кадров.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17. Должностными лицами, правомочными осуществлять проверки содержащихся в уведомлениях сведений, являются сотрудники отдела по профилактике коррупционных и иных правонарушений Департамента государственной службы и кадров.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18. Проверка проводится в течение пяти рабочих дней с момента регистрации уведомления.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19. По письменному запросу Департамента государственной службы и кадров гражданскими служащими Минсельхоза России представляются необходимые для проверки материалы, пояснения.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20.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21. Гражданский служащий, уведомивший представителя нанимателя, органы прокуратуры или другие государственные обращения в целях склонения его к правонарушения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В случае привлечения к дисциплинарной ответственности гражданского служащего обоснованность такого решения рассматривается на заседании Комиссии по соблюдению требований к служебному поведению федеральных государственных гражданских служащих Министерства сельского хозяйства Российской Федерации и урегулированию конфликта интересов в соответствии с подпунктом "в" пункта 14 Положения о Комиссии по соблюдению требований к служебному поведению федеральных государственных гражданских служащих Министерства сельского хозяйства Российской Федерации и урегулированию конфликта интересов, утвержденного приказом Министерства сельского хозяйства Российской Федерации от 26 сентября 2014 г. N 371 (зарегистрирован Министерством юстиции Российской Федерации 5 ноября 2014 г., регистрационный N 34565).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55">
        <w:rPr>
          <w:rFonts w:ascii="Times New Roman" w:hAnsi="Times New Roman"/>
          <w:sz w:val="28"/>
          <w:szCs w:val="28"/>
          <w:lang w:eastAsia="ru-RU"/>
        </w:rPr>
        <w:t>(в ред. Приказа Минсельхоза России от 03.02.2015 N 31)</w:t>
      </w: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Pr="00D21C55" w:rsidRDefault="00D873C5" w:rsidP="00D21C55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E37E8A">
      <w:pPr>
        <w:spacing w:after="0" w:line="240" w:lineRule="auto"/>
        <w:ind w:left="106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E8A">
        <w:rPr>
          <w:rFonts w:ascii="Times New Roman" w:hAnsi="Times New Roman"/>
          <w:sz w:val="28"/>
          <w:szCs w:val="28"/>
          <w:lang w:eastAsia="ru-RU"/>
        </w:rPr>
        <w:t>илож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1 </w:t>
      </w:r>
    </w:p>
    <w:p w:rsidR="00D873C5" w:rsidRDefault="00D873C5" w:rsidP="00786B6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Стратегии туристско-рекреационного кластера «Камский берег» Удмуртской Республики</w:t>
      </w:r>
    </w:p>
    <w:p w:rsidR="00D873C5" w:rsidRDefault="00D873C5" w:rsidP="00786B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873C5" w:rsidRDefault="00D873C5" w:rsidP="00786B6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</w:rPr>
        <w:t>Показатели проектной мощности объектов  проекта</w:t>
      </w:r>
    </w:p>
    <w:p w:rsidR="00D873C5" w:rsidRDefault="00D873C5" w:rsidP="00786B64">
      <w:pPr>
        <w:spacing w:after="0" w:line="240" w:lineRule="auto"/>
        <w:ind w:left="2831"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Восстановление объекта культурного наследия «Дом Башенина»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16020" w:type="dxa"/>
        <w:tblInd w:w="-72" w:type="dxa"/>
        <w:tblLayout w:type="fixed"/>
        <w:tblLook w:val="00A0"/>
      </w:tblPr>
      <w:tblGrid>
        <w:gridCol w:w="2068"/>
        <w:gridCol w:w="720"/>
        <w:gridCol w:w="1244"/>
        <w:gridCol w:w="1244"/>
        <w:gridCol w:w="1080"/>
        <w:gridCol w:w="1260"/>
        <w:gridCol w:w="1080"/>
        <w:gridCol w:w="1260"/>
        <w:gridCol w:w="1260"/>
        <w:gridCol w:w="1244"/>
        <w:gridCol w:w="1080"/>
        <w:gridCol w:w="1096"/>
        <w:gridCol w:w="1276"/>
      </w:tblGrid>
      <w:tr w:rsidR="00D873C5" w:rsidTr="00786B64">
        <w:trPr>
          <w:trHeight w:val="525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Показатель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2016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2017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2018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2019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2020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2021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2022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2023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2024 год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Всего за весь срок</w:t>
            </w:r>
          </w:p>
        </w:tc>
      </w:tr>
      <w:tr w:rsidR="00D873C5" w:rsidTr="00786B64">
        <w:trPr>
          <w:trHeight w:val="270"/>
        </w:trPr>
        <w:tc>
          <w:tcPr>
            <w:tcW w:w="160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 Доходы от сдачи имущества в аренду</w:t>
            </w:r>
          </w:p>
        </w:tc>
      </w:tr>
      <w:tr w:rsidR="00D873C5" w:rsidTr="00786B64">
        <w:trPr>
          <w:trHeight w:val="27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1.1. Количество услуг, м.кв. (аренда)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1.2. Стоимость  услуги,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1.3. Выручка,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1584,00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9360,00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12240,00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13320,00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99840,00</w:t>
            </w:r>
          </w:p>
        </w:tc>
      </w:tr>
      <w:tr w:rsidR="00D873C5" w:rsidTr="00786B64">
        <w:trPr>
          <w:trHeight w:val="223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 w:bidi="he-IL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 w:bidi="he-IL"/>
              </w:rPr>
              <w:t>2. Доходы от оказания услуг</w:t>
            </w:r>
          </w:p>
        </w:tc>
      </w:tr>
      <w:tr w:rsidR="00D873C5" w:rsidTr="00786B64">
        <w:trPr>
          <w:trHeight w:val="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Планируемая выручка,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14162,54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14799,85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15465,85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16161,81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16889,09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17649,10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18443,31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19273,26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20140,56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174032,26</w:t>
            </w:r>
          </w:p>
        </w:tc>
      </w:tr>
      <w:tr w:rsidR="00D873C5" w:rsidTr="00786B64">
        <w:trPr>
          <w:trHeight w:val="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общая выручка,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15746,54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20799,85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23121,85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25521,81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28049,09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29349,10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30683,31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32053,26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ind w:left="-40" w:firstLine="4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33460,56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35086,88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273872,26</w:t>
            </w:r>
          </w:p>
        </w:tc>
      </w:tr>
      <w:tr w:rsidR="00D873C5" w:rsidTr="00786B64">
        <w:trPr>
          <w:trHeight w:val="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прибыль,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3149,31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6239,96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9248,74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14037,00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15427,00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16142,01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16875,82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17629,29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18403,31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19297,79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136450,21</w:t>
            </w:r>
          </w:p>
        </w:tc>
      </w:tr>
      <w:tr w:rsidR="00D873C5" w:rsidTr="00786B64">
        <w:trPr>
          <w:trHeight w:val="2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прибыль, тыс. руб.*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3149,31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4991,97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7398,99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11229,60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12341,60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12913,60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13500,66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14103,43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14722,64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15438,23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109790,03</w:t>
            </w:r>
          </w:p>
        </w:tc>
      </w:tr>
    </w:tbl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 условии использования традиционной системы налогообложения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– 19,2 года, с учетом амортизации срок окупаемости сократится.</w:t>
      </w:r>
    </w:p>
    <w:p w:rsidR="00D873C5" w:rsidRDefault="00D873C5" w:rsidP="00786B64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</w:p>
    <w:p w:rsidR="00D873C5" w:rsidRDefault="00D873C5" w:rsidP="00786B6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Стратегии туристско-рекреационного кластера «Камский берег» Удмуртской Республики</w:t>
      </w:r>
    </w:p>
    <w:p w:rsidR="00D873C5" w:rsidRDefault="00D873C5" w:rsidP="00786B6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786B6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</w:p>
    <w:p w:rsidR="00D873C5" w:rsidRDefault="00D873C5" w:rsidP="00786B6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</w:rPr>
        <w:t>Показатели проектной мощности объектов проекта</w:t>
      </w:r>
    </w:p>
    <w:p w:rsidR="00D873C5" w:rsidRDefault="00D873C5" w:rsidP="00786B6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Строительство гостиницы на набережной реки Кама с номерным фондом 37 единиц»</w:t>
      </w:r>
    </w:p>
    <w:p w:rsidR="00D873C5" w:rsidRDefault="00D873C5" w:rsidP="00786B6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675" w:type="dxa"/>
        <w:tblInd w:w="92" w:type="dxa"/>
        <w:tblLayout w:type="fixed"/>
        <w:tblLook w:val="00A0"/>
      </w:tblPr>
      <w:tblGrid>
        <w:gridCol w:w="2607"/>
        <w:gridCol w:w="720"/>
        <w:gridCol w:w="975"/>
        <w:gridCol w:w="975"/>
        <w:gridCol w:w="1110"/>
        <w:gridCol w:w="1086"/>
        <w:gridCol w:w="1080"/>
        <w:gridCol w:w="1134"/>
        <w:gridCol w:w="1080"/>
        <w:gridCol w:w="1260"/>
        <w:gridCol w:w="1260"/>
        <w:gridCol w:w="1206"/>
        <w:gridCol w:w="1074"/>
      </w:tblGrid>
      <w:tr w:rsidR="00D873C5" w:rsidTr="00786B64">
        <w:trPr>
          <w:trHeight w:val="525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Показатель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2016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2017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2018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2019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2020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2021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2022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2023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2024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Всего за весь срок</w:t>
            </w:r>
          </w:p>
        </w:tc>
      </w:tr>
      <w:tr w:rsidR="00D873C5" w:rsidTr="00786B64">
        <w:trPr>
          <w:trHeight w:val="270"/>
        </w:trPr>
        <w:tc>
          <w:tcPr>
            <w:tcW w:w="156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1.Доходы от сдачи номеров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1.1. Количество номеров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% загрузки в год*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22%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25%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1.2. Оказано услуги,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12155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147850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1.3. Стоимость  услуги, руб./ сутки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2640,00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3194,40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3513,84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3865,22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4251,75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4676,92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1.4. Выручка,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12000,0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14960,0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29170,8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46349,16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50984,08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56082,48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61690,73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67859,81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74645,79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82110,36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495853,21</w:t>
            </w:r>
          </w:p>
        </w:tc>
      </w:tr>
      <w:tr w:rsidR="00D873C5" w:rsidTr="00786B64">
        <w:trPr>
          <w:trHeight w:val="270"/>
        </w:trPr>
        <w:tc>
          <w:tcPr>
            <w:tcW w:w="156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 Доходы от услуг общественного питания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2.1. Количество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2.2. Стоимость  услуги, руб./ 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585,64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708,62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779,49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2.3. Выручка,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2860,00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3460,60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3806,66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4187,33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4606,06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5066,66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30483,3</w:t>
            </w:r>
          </w:p>
        </w:tc>
      </w:tr>
      <w:tr w:rsidR="00D873C5" w:rsidTr="00786B64">
        <w:trPr>
          <w:trHeight w:val="270"/>
        </w:trPr>
        <w:tc>
          <w:tcPr>
            <w:tcW w:w="1567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3.Доходы от  дополнительных услуг</w:t>
            </w:r>
          </w:p>
        </w:tc>
      </w:tr>
      <w:tr w:rsidR="00D873C5" w:rsidTr="00786B64">
        <w:trPr>
          <w:trHeight w:val="525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3.1. Количество услуг (сауна, тренажерный зал, конференц-зал)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3.2. Стоимость  услуги, руб./ чел.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770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847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932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1025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1127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1364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3.3. Выручка, 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3311,00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3642,10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4006,31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4406,94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4847,64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5332,40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5865,64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36012,0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Итого общая выручка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13500,00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17510,00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33070,80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52520,16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57772,18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63549,39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69904,33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76894,77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84584,24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93042,67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562348,5</w:t>
            </w:r>
          </w:p>
        </w:tc>
      </w:tr>
      <w:tr w:rsidR="00D873C5" w:rsidTr="00786B64">
        <w:trPr>
          <w:trHeight w:val="433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Прибыль от оказания услуг при средней рентабельности 35%, 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4725,00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6128,50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11574,78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18382,06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20220,26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22242,29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24466,52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26913,17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29604,49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32564,93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196821,9</w:t>
            </w:r>
          </w:p>
        </w:tc>
      </w:tr>
      <w:tr w:rsidR="00D873C5" w:rsidTr="00786B64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873C5" w:rsidRDefault="00D873C5">
            <w:pPr>
              <w:spacing w:after="0" w:line="240" w:lineRule="auto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Чистая прибыль, тыс. руб.*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3780,00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4902,80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9259,82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14705,64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16176,21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17793,83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19573,21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21530,53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23683,59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26051,95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157457,6</w:t>
            </w:r>
          </w:p>
        </w:tc>
      </w:tr>
    </w:tbl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 использовании традиционной системы налогообложения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– 5,1 года, с учетом амортизационных отчислений срок окупаемости будет меньше.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3 </w:t>
      </w:r>
    </w:p>
    <w:p w:rsidR="00D873C5" w:rsidRDefault="00D873C5" w:rsidP="00786B6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Стратегии туристско-рекреационного кластера «Камский берег» Удмуртской Республики</w:t>
      </w:r>
    </w:p>
    <w:p w:rsidR="00D873C5" w:rsidRDefault="00D873C5" w:rsidP="00786B64">
      <w:pPr>
        <w:spacing w:after="0" w:line="240" w:lineRule="auto"/>
        <w:ind w:firstLine="540"/>
        <w:jc w:val="center"/>
        <w:rPr>
          <w:rFonts w:ascii="Times New Roman" w:hAnsi="Times New Roman"/>
          <w:bCs/>
          <w:kern w:val="3"/>
          <w:sz w:val="28"/>
          <w:szCs w:val="28"/>
        </w:rPr>
      </w:pPr>
    </w:p>
    <w:p w:rsidR="00D873C5" w:rsidRDefault="00D873C5" w:rsidP="00786B64">
      <w:pPr>
        <w:spacing w:after="0" w:line="240" w:lineRule="auto"/>
        <w:ind w:firstLine="540"/>
        <w:jc w:val="center"/>
        <w:rPr>
          <w:rFonts w:ascii="Times New Roman" w:hAnsi="Times New Roman"/>
          <w:bCs/>
          <w:kern w:val="3"/>
          <w:sz w:val="28"/>
          <w:szCs w:val="28"/>
        </w:rPr>
      </w:pPr>
    </w:p>
    <w:p w:rsidR="00D873C5" w:rsidRDefault="00D873C5" w:rsidP="00786B6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</w:rPr>
        <w:t>Показатели проектной мощности объектов проекта</w:t>
      </w:r>
    </w:p>
    <w:p w:rsidR="00D873C5" w:rsidRDefault="00D873C5" w:rsidP="00786B6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«Реконструкция профилактория «Озон» с целью создания лечебно-диагностического центра и СПА-комплекса»</w:t>
      </w:r>
    </w:p>
    <w:p w:rsidR="00D873C5" w:rsidRDefault="00D873C5" w:rsidP="00786B6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5" w:type="dxa"/>
        <w:tblInd w:w="92" w:type="dxa"/>
        <w:tblLayout w:type="fixed"/>
        <w:tblLook w:val="00A0"/>
      </w:tblPr>
      <w:tblGrid>
        <w:gridCol w:w="350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873C5" w:rsidTr="00786B64">
        <w:trPr>
          <w:trHeight w:val="52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Показатель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2015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2016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2017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2018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2019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2020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2021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2022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2023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2024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2025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Всего за весь срок</w:t>
            </w:r>
          </w:p>
        </w:tc>
      </w:tr>
      <w:tr w:rsidR="00D873C5" w:rsidTr="00786B64">
        <w:trPr>
          <w:trHeight w:val="270"/>
        </w:trPr>
        <w:tc>
          <w:tcPr>
            <w:tcW w:w="151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1.Доходы от профилактория</w:t>
            </w: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1.1. Количество путевок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1.2 Средняя цена путевки,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1.3. Выручка,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526,30</w:t>
            </w:r>
          </w:p>
        </w:tc>
      </w:tr>
      <w:tr w:rsidR="00D873C5" w:rsidTr="00786B64">
        <w:trPr>
          <w:trHeight w:val="270"/>
        </w:trPr>
        <w:tc>
          <w:tcPr>
            <w:tcW w:w="151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2. Доходы от от СПА-центра</w:t>
            </w: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2.1. Количество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2.2. Средняя стоимость  услуги,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2.3. Выручка,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12,60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13,23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13,89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14,59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15,32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132,62</w:t>
            </w: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Итого выручка,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658,92</w:t>
            </w:r>
          </w:p>
        </w:tc>
      </w:tr>
      <w:tr w:rsidR="00D873C5" w:rsidTr="00786B64">
        <w:trPr>
          <w:trHeight w:val="52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Прибыль от реализации с учетом планируемой рентабельности 10%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65,89</w:t>
            </w:r>
          </w:p>
        </w:tc>
      </w:tr>
      <w:tr w:rsidR="00D873C5" w:rsidTr="00786B64">
        <w:trPr>
          <w:trHeight w:val="27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Чистая прибыль, млн. руб.*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 w:bidi="he-IL"/>
              </w:rPr>
              <w:t>52,71</w:t>
            </w:r>
          </w:p>
        </w:tc>
      </w:tr>
    </w:tbl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 использовании традиционной системы налогообложения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– 25,3 года, с учетом амортизационных отчислений срок окупаемости будет меньше.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873C5" w:rsidRDefault="00D873C5" w:rsidP="00786B64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4 </w:t>
      </w:r>
    </w:p>
    <w:p w:rsidR="00D873C5" w:rsidRDefault="00D873C5" w:rsidP="00786B6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Стратегии туристско-рекреационного кластера «Камский берег» Удмуртской Республики</w:t>
      </w: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</w:rPr>
        <w:t>Показатели проектной мощности объектов проекта</w:t>
      </w:r>
    </w:p>
    <w:p w:rsidR="00D873C5" w:rsidRDefault="00D873C5" w:rsidP="00786B64">
      <w:pPr>
        <w:ind w:firstLine="54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Строительство досугового  центра  «Кураж»</w:t>
      </w:r>
    </w:p>
    <w:tbl>
      <w:tblPr>
        <w:tblW w:w="14600" w:type="dxa"/>
        <w:tblInd w:w="92" w:type="dxa"/>
        <w:tblLook w:val="00A0"/>
      </w:tblPr>
      <w:tblGrid>
        <w:gridCol w:w="1721"/>
        <w:gridCol w:w="1116"/>
        <w:gridCol w:w="1116"/>
        <w:gridCol w:w="1116"/>
        <w:gridCol w:w="1116"/>
        <w:gridCol w:w="1236"/>
        <w:gridCol w:w="1236"/>
        <w:gridCol w:w="1236"/>
        <w:gridCol w:w="1356"/>
        <w:gridCol w:w="1356"/>
        <w:gridCol w:w="1356"/>
        <w:gridCol w:w="1356"/>
        <w:gridCol w:w="1476"/>
      </w:tblGrid>
      <w:tr w:rsidR="00D873C5" w:rsidTr="00786B64">
        <w:trPr>
          <w:trHeight w:val="2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Показатель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2016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2017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2018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2019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2020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2021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2022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2023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2024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год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Всего за весь срок</w:t>
            </w:r>
          </w:p>
        </w:tc>
      </w:tr>
      <w:tr w:rsidR="00D873C5" w:rsidTr="00786B64">
        <w:trPr>
          <w:trHeight w:val="20"/>
        </w:trPr>
        <w:tc>
          <w:tcPr>
            <w:tcW w:w="146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1.Доходы от услуг киноцетра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1.1. Максималь-ное количество услуг*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131400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% загрузки в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770%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1.2. Оказано услуги,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39420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59130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72270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91980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223380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354780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486180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617580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748980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880380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1011780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4585860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1.3. Стоимость  услуги (средний чек 150-200 руб./ чел.)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192,9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212,7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223,3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234,5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246,2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258,6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271,5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285,1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1.4. Выручка, 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6898,50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10865,14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13943,59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18633,71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47515,96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79239,86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114017,35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152074,49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193652,30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239007,71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288414,53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1164263,13</w:t>
            </w:r>
          </w:p>
        </w:tc>
      </w:tr>
      <w:tr w:rsidR="00D873C5" w:rsidTr="00786B64">
        <w:trPr>
          <w:trHeight w:val="20"/>
        </w:trPr>
        <w:tc>
          <w:tcPr>
            <w:tcW w:w="146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 Доходы от боулинга и бильярда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2.1. Максималь-ное количество услуг**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% загрузки в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2.2. Оказано услуги,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7884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11826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14454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18396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181332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2.3. Стоимость  услуги (средний чек 300-380 руб./ чел.)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357,0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374,9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393,6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413,3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433,9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455,6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478,4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502,3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527,5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553,8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2.4. Выручка, 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2680,56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4221,88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5418,08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7240,53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7602,55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7982,68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8381,82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8800,91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9240,95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9703,00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10188,15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81461,11</w:t>
            </w:r>
          </w:p>
        </w:tc>
      </w:tr>
      <w:tr w:rsidR="00D873C5" w:rsidTr="00786B64">
        <w:trPr>
          <w:trHeight w:val="20"/>
        </w:trPr>
        <w:tc>
          <w:tcPr>
            <w:tcW w:w="146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3. Доходы от кафе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4.1. Максимальное количество услуг**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47304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70956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86724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110376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241776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373176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504576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635976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767376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898776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1030176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% загрузки в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670%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770%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4.2. Количество услуг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14191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31930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47698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77263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411019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1007575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1866931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2989087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4374043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6021799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7932355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24773893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4.3. Стоимость  услуги (360 руб. средний чек)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378,0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396,9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416,7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437,6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459,5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482,4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506,6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531,9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558,5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586,4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-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4.4. Выручка, 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5108,83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12069,62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18931,42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32199,05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179854,71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462941,87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900671,89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1514140,51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2326483,42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3363043,32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4651549,47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13466994,11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Итого общая выручка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14687,89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15087,02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19361,68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25874,24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55118,52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87222,54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122399,16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160875,40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202893,25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248710,71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298602,68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1250833,07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Планируемая прибыль при рентабельности 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11750,31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12069,62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15489,34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20699,39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44094,81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69778,03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97919,33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128700,32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162314,60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198968,57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238882,14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1000666,46</w:t>
            </w:r>
          </w:p>
        </w:tc>
      </w:tr>
      <w:tr w:rsidR="00D873C5" w:rsidTr="00786B64">
        <w:trPr>
          <w:trHeight w:val="2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Чистая прибыль, тыс. руб.****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9400,25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9655,69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12391,47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16559,51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35275,85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55822,42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78335,46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102960,25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129851,68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159174,85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191105,71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800533,17</w:t>
            </w:r>
          </w:p>
        </w:tc>
      </w:tr>
    </w:tbl>
    <w:p w:rsidR="00D873C5" w:rsidRDefault="00D873C5" w:rsidP="00786B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максимальное количество услуг 200 мест*6 сеансов*365 дн.</w:t>
      </w:r>
    </w:p>
    <w:p w:rsidR="00D873C5" w:rsidRDefault="00D873C5" w:rsidP="00786B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максимальное количество услуг 6 дорожек*12 часов в день*365 дн.</w:t>
      </w:r>
    </w:p>
    <w:p w:rsidR="00D873C5" w:rsidRDefault="00D873C5" w:rsidP="00786B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максимальное количество услуг 30% потребителей услуг киноцентра и боулинга с бильярдом  </w:t>
      </w:r>
    </w:p>
    <w:p w:rsidR="00D873C5" w:rsidRDefault="00D873C5" w:rsidP="00786B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при использовании традиционной системы налогообложения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– 6,4 года</w:t>
      </w:r>
    </w:p>
    <w:p w:rsidR="00D873C5" w:rsidRDefault="00D873C5" w:rsidP="00786B6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873C5" w:rsidRDefault="00D873C5" w:rsidP="00786B6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873C5" w:rsidRDefault="00D873C5" w:rsidP="00786B6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873C5" w:rsidRDefault="00D873C5" w:rsidP="00786B6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873C5" w:rsidRDefault="00D873C5" w:rsidP="00786B6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873C5" w:rsidRDefault="00D873C5" w:rsidP="00786B6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873C5" w:rsidRDefault="00D873C5" w:rsidP="00786B64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5 </w:t>
      </w:r>
    </w:p>
    <w:p w:rsidR="00D873C5" w:rsidRDefault="00D873C5" w:rsidP="00786B6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Стратегии туристско-рекреационного кластера «Камский берег» Удмуртской Республики</w:t>
      </w:r>
    </w:p>
    <w:p w:rsidR="00D873C5" w:rsidRDefault="00D873C5" w:rsidP="00786B64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873C5" w:rsidRDefault="00D873C5" w:rsidP="00786B6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</w:rPr>
        <w:t>Показатели проектной мощности объектов проекта</w:t>
      </w:r>
    </w:p>
    <w:p w:rsidR="00D873C5" w:rsidRDefault="00D873C5" w:rsidP="00786B6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Восстановление объекта культурного наследия «Насосная станция 1910 г.» с последующим современным приспособлением под ресторанно-гостиничный комплекс с обустройством набережной в районе речного порта»</w:t>
      </w:r>
    </w:p>
    <w:p w:rsidR="00D873C5" w:rsidRDefault="00D873C5" w:rsidP="00786B6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885" w:type="dxa"/>
        <w:tblInd w:w="92" w:type="dxa"/>
        <w:tblLayout w:type="fixed"/>
        <w:tblLook w:val="00A0"/>
      </w:tblPr>
      <w:tblGrid>
        <w:gridCol w:w="2033"/>
        <w:gridCol w:w="1133"/>
        <w:gridCol w:w="1133"/>
        <w:gridCol w:w="1133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274"/>
      </w:tblGrid>
      <w:tr w:rsidR="00D873C5" w:rsidTr="00786B64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2016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2017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2018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2019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2020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2021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2022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2023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2024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2025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Всего за весь срок</w:t>
            </w:r>
          </w:p>
        </w:tc>
      </w:tr>
      <w:tr w:rsidR="00D873C5" w:rsidTr="00786B64">
        <w:trPr>
          <w:trHeight w:val="255"/>
        </w:trPr>
        <w:tc>
          <w:tcPr>
            <w:tcW w:w="1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1.Доходы гостиницы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1.1. Количество номеров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% загрузки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1.2. Оказано услуги,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1.3. Стоимость  услуги,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1.4. Выручка,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1916250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2376150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2861600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3372600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3909150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4471250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4599000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4726750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4854500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4982250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5110000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43179500</w:t>
            </w:r>
          </w:p>
        </w:tc>
      </w:tr>
      <w:tr w:rsidR="00D873C5" w:rsidTr="00786B64">
        <w:trPr>
          <w:trHeight w:val="255"/>
        </w:trPr>
        <w:tc>
          <w:tcPr>
            <w:tcW w:w="1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2.Доходы ресторана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2.1. Количество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2.2. Стоимость  услуги, руб.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2.3. Выручка, руб.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29450000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34650000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40250000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45500000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47250000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49000000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428250000</w:t>
            </w:r>
          </w:p>
        </w:tc>
      </w:tr>
      <w:tr w:rsidR="00D873C5" w:rsidTr="00786B64">
        <w:trPr>
          <w:trHeight w:val="255"/>
        </w:trPr>
        <w:tc>
          <w:tcPr>
            <w:tcW w:w="15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3.Доходы кафе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 xml:space="preserve">3.1. Количество </w:t>
            </w:r>
          </w:p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3.2. Стоимость  услуги,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-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3.3. Выручка,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8400000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11900000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12600000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13300000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14000000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91400000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Итого общая выручка,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28916,25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31826,15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37861,60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44522,60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49709,15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55221,25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57799,00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60376,75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62954,50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65532,25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68110,00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562829,50</w:t>
            </w:r>
          </w:p>
        </w:tc>
      </w:tr>
      <w:tr w:rsidR="00D873C5" w:rsidTr="00786B64">
        <w:trPr>
          <w:trHeight w:val="48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Планируемая прибыль при рентабельности 20%,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23133,00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25460,92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30289,28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35618,08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39767,32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44177,00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46239,20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48301,40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50363,60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52425,80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54488,00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450263,60</w:t>
            </w:r>
          </w:p>
        </w:tc>
      </w:tr>
      <w:tr w:rsidR="00D873C5" w:rsidTr="00786B64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Чистая прибыль, тыс. руб.*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18506,40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20368,74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24231,42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28494,46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31813,86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35341,60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36991,36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38641,12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40290,88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41940,64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43590,40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C5" w:rsidRDefault="00D873C5">
            <w:pPr>
              <w:spacing w:after="0" w:line="240" w:lineRule="auto"/>
              <w:jc w:val="center"/>
              <w:rPr>
                <w:rFonts w:ascii="Times New Roman" w:hAnsi="Times New Roman"/>
                <w:lang w:eastAsia="ru-RU" w:bidi="he-IL"/>
              </w:rPr>
            </w:pPr>
            <w:r>
              <w:rPr>
                <w:rFonts w:ascii="Times New Roman" w:hAnsi="Times New Roman"/>
                <w:lang w:eastAsia="ru-RU" w:bidi="he-IL"/>
              </w:rPr>
              <w:t>360210,88</w:t>
            </w:r>
          </w:p>
        </w:tc>
      </w:tr>
    </w:tbl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 использовании традиционной системы налогообложения</w:t>
      </w: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873C5" w:rsidRDefault="00D873C5" w:rsidP="00786B6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– 8,1 год.</w:t>
      </w:r>
    </w:p>
    <w:p w:rsidR="00D873C5" w:rsidRDefault="00D873C5" w:rsidP="00786B6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73C5" w:rsidRPr="00A27551" w:rsidRDefault="00D873C5" w:rsidP="00A27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873C5" w:rsidRPr="00A27551" w:rsidSect="00935F3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A4A"/>
    <w:multiLevelType w:val="hybridMultilevel"/>
    <w:tmpl w:val="3188ABBE"/>
    <w:lvl w:ilvl="0" w:tplc="530426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C5410D"/>
    <w:multiLevelType w:val="hybridMultilevel"/>
    <w:tmpl w:val="75662AFE"/>
    <w:lvl w:ilvl="0" w:tplc="805A93D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01245D2"/>
    <w:multiLevelType w:val="hybridMultilevel"/>
    <w:tmpl w:val="40B60C3E"/>
    <w:lvl w:ilvl="0" w:tplc="B1D6FB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C1B4493"/>
    <w:multiLevelType w:val="hybridMultilevel"/>
    <w:tmpl w:val="750495CC"/>
    <w:lvl w:ilvl="0" w:tplc="84460B72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AF97732"/>
    <w:multiLevelType w:val="hybridMultilevel"/>
    <w:tmpl w:val="C4D4B550"/>
    <w:lvl w:ilvl="0" w:tplc="069E2C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86"/>
    <w:rsid w:val="0005276F"/>
    <w:rsid w:val="00094E40"/>
    <w:rsid w:val="001634E8"/>
    <w:rsid w:val="0029043C"/>
    <w:rsid w:val="003330D3"/>
    <w:rsid w:val="00512D7E"/>
    <w:rsid w:val="00587215"/>
    <w:rsid w:val="005E781B"/>
    <w:rsid w:val="006252B9"/>
    <w:rsid w:val="006A0896"/>
    <w:rsid w:val="006E5CA3"/>
    <w:rsid w:val="00786B64"/>
    <w:rsid w:val="007C46FC"/>
    <w:rsid w:val="007C4F71"/>
    <w:rsid w:val="008458EC"/>
    <w:rsid w:val="0091027E"/>
    <w:rsid w:val="00935F38"/>
    <w:rsid w:val="00936586"/>
    <w:rsid w:val="009800BE"/>
    <w:rsid w:val="009E3CD9"/>
    <w:rsid w:val="00A27551"/>
    <w:rsid w:val="00B311D5"/>
    <w:rsid w:val="00B95303"/>
    <w:rsid w:val="00C31EC9"/>
    <w:rsid w:val="00CD612B"/>
    <w:rsid w:val="00D04D2F"/>
    <w:rsid w:val="00D0525C"/>
    <w:rsid w:val="00D21C55"/>
    <w:rsid w:val="00D873C5"/>
    <w:rsid w:val="00DA70F5"/>
    <w:rsid w:val="00E07E15"/>
    <w:rsid w:val="00E13939"/>
    <w:rsid w:val="00E37E8A"/>
    <w:rsid w:val="00E643DF"/>
    <w:rsid w:val="00EF3669"/>
    <w:rsid w:val="00F015D9"/>
    <w:rsid w:val="00F1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6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D7E"/>
    <w:pPr>
      <w:ind w:left="720"/>
      <w:contextualSpacing/>
    </w:pPr>
  </w:style>
  <w:style w:type="paragraph" w:customStyle="1" w:styleId="ConsPlusNonformat">
    <w:name w:val="ConsPlusNonformat"/>
    <w:uiPriority w:val="99"/>
    <w:rsid w:val="00B953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F4900587F7679232619B2ED609E04E89A5EBADCE34E26D68C7C887F538AA5A2E98668615E4F3A6r1PBO" TargetMode="External"/><Relationship Id="rId5" Type="http://schemas.openxmlformats.org/officeDocument/2006/relationships/hyperlink" Target="consultantplus://offline/ref=5DF4900587F7679232619B2ED609E04E89A5ECAECF3FE26D68C7C887F538AA5A2E98668615E4F3A9r1P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177</Pages>
  <Words>5295</Words>
  <Characters>30185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2015-07-15T11:55:00Z</cp:lastPrinted>
  <dcterms:created xsi:type="dcterms:W3CDTF">2015-08-06T06:52:00Z</dcterms:created>
  <dcterms:modified xsi:type="dcterms:W3CDTF">2015-08-06T06:52:00Z</dcterms:modified>
</cp:coreProperties>
</file>